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111學年度下學期4月份菜單替代食材(尚好)</w:t>
      </w:r>
    </w:p>
    <w:tbl>
      <w:tblPr>
        <w:tblStyle w:val="Table1"/>
        <w:tblW w:w="98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2127"/>
        <w:gridCol w:w="1984"/>
        <w:gridCol w:w="1701"/>
        <w:gridCol w:w="1256"/>
        <w:gridCol w:w="1518"/>
        <w:tblGridChange w:id="0">
          <w:tblGrid>
            <w:gridCol w:w="1242"/>
            <w:gridCol w:w="2127"/>
            <w:gridCol w:w="1984"/>
            <w:gridCol w:w="1701"/>
            <w:gridCol w:w="1256"/>
            <w:gridCol w:w="15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-120" w:right="-120" w:firstLine="0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循環別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菜單名稱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原食材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替代食材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L2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椒鹽魚排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魚排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鯊魚(片)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金黃魚排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魚排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鯊魚(片)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N4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沙茶魷魚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阿根廷魷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泡魷魚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火腿花椰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火腿切片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6"/>
                <w:szCs w:val="36"/>
                <w:rtl w:val="0"/>
              </w:rPr>
              <w:t xml:space="preserve">培根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widowControl w:val="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276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