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7D" w:rsidRPr="00DA3856" w:rsidRDefault="00B3097D" w:rsidP="007078EA">
      <w:pPr>
        <w:snapToGrid w:val="0"/>
        <w:spacing w:afterLines="50"/>
        <w:jc w:val="center"/>
        <w:rPr>
          <w:rFonts w:ascii="標楷體" w:eastAsia="標楷體" w:hAnsi="標楷體"/>
          <w:sz w:val="32"/>
          <w:szCs w:val="32"/>
        </w:rPr>
      </w:pPr>
      <w:bookmarkStart w:id="0" w:name="_GoBack"/>
      <w:bookmarkEnd w:id="0"/>
      <w:r w:rsidRPr="00DA3856">
        <w:rPr>
          <w:rFonts w:ascii="標楷體" w:eastAsia="標楷體" w:hAnsi="標楷體" w:hint="eastAsia"/>
          <w:b/>
          <w:sz w:val="32"/>
          <w:szCs w:val="32"/>
        </w:rPr>
        <w:t>食品良好衛生規範準則第三十六條附表六勘誤表</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96"/>
        <w:gridCol w:w="4196"/>
      </w:tblGrid>
      <w:tr w:rsidR="00B3097D" w:rsidRPr="00DA3856" w:rsidTr="00691746">
        <w:tc>
          <w:tcPr>
            <w:tcW w:w="2500" w:type="pct"/>
          </w:tcPr>
          <w:p w:rsidR="00B3097D" w:rsidRPr="00DA3856" w:rsidRDefault="00B3097D" w:rsidP="00557299">
            <w:pPr>
              <w:pStyle w:val="NormalWeb"/>
              <w:snapToGrid w:val="0"/>
              <w:spacing w:before="0" w:beforeAutospacing="0" w:after="0" w:afterAutospacing="0"/>
              <w:ind w:leftChars="75" w:left="740" w:hangingChars="200" w:hanging="560"/>
              <w:jc w:val="center"/>
              <w:rPr>
                <w:rFonts w:ascii="標楷體" w:eastAsia="標楷體" w:hAnsi="標楷體"/>
                <w:sz w:val="28"/>
                <w:szCs w:val="28"/>
              </w:rPr>
            </w:pPr>
            <w:r w:rsidRPr="00DA3856">
              <w:rPr>
                <w:rFonts w:ascii="標楷體" w:eastAsia="標楷體" w:hAnsi="標楷體" w:hint="eastAsia"/>
                <w:sz w:val="28"/>
                <w:szCs w:val="28"/>
              </w:rPr>
              <w:t>更正後</w:t>
            </w:r>
            <w:r>
              <w:rPr>
                <w:rFonts w:ascii="標楷體" w:eastAsia="標楷體" w:hAnsi="標楷體" w:hint="eastAsia"/>
                <w:sz w:val="28"/>
                <w:szCs w:val="28"/>
              </w:rPr>
              <w:t>文字</w:t>
            </w:r>
          </w:p>
        </w:tc>
        <w:tc>
          <w:tcPr>
            <w:tcW w:w="2500" w:type="pct"/>
          </w:tcPr>
          <w:p w:rsidR="00B3097D" w:rsidRPr="00DA3856" w:rsidRDefault="00B3097D" w:rsidP="00557299">
            <w:pPr>
              <w:pStyle w:val="NormalWeb"/>
              <w:snapToGrid w:val="0"/>
              <w:spacing w:before="0" w:beforeAutospacing="0" w:after="0" w:afterAutospacing="0"/>
              <w:ind w:leftChars="75" w:left="740" w:hangingChars="200" w:hanging="560"/>
              <w:jc w:val="center"/>
              <w:rPr>
                <w:rFonts w:ascii="標楷體" w:eastAsia="標楷體" w:hAnsi="標楷體"/>
                <w:sz w:val="28"/>
                <w:szCs w:val="28"/>
              </w:rPr>
            </w:pPr>
            <w:r w:rsidRPr="00DA3856">
              <w:rPr>
                <w:rFonts w:ascii="標楷體" w:eastAsia="標楷體" w:hAnsi="標楷體" w:hint="eastAsia"/>
                <w:sz w:val="28"/>
                <w:szCs w:val="28"/>
              </w:rPr>
              <w:t>原</w:t>
            </w:r>
            <w:r>
              <w:rPr>
                <w:rFonts w:ascii="標楷體" w:eastAsia="標楷體" w:hAnsi="標楷體" w:hint="eastAsia"/>
                <w:sz w:val="28"/>
                <w:szCs w:val="28"/>
              </w:rPr>
              <w:t>列文字</w:t>
            </w:r>
          </w:p>
        </w:tc>
      </w:tr>
      <w:tr w:rsidR="00B3097D" w:rsidRPr="00DA3856" w:rsidTr="00691746">
        <w:tc>
          <w:tcPr>
            <w:tcW w:w="2500" w:type="pct"/>
          </w:tcPr>
          <w:p w:rsidR="00B3097D" w:rsidRPr="00DA3856" w:rsidRDefault="00B3097D" w:rsidP="00557299">
            <w:pPr>
              <w:pStyle w:val="NormalWeb"/>
              <w:snapToGrid w:val="0"/>
              <w:spacing w:before="0" w:beforeAutospacing="0" w:after="0" w:afterAutospacing="0"/>
              <w:ind w:leftChars="75" w:left="740" w:hangingChars="200" w:hanging="560"/>
              <w:rPr>
                <w:rFonts w:ascii="標楷體" w:eastAsia="標楷體" w:hAnsi="標楷體"/>
                <w:sz w:val="28"/>
                <w:szCs w:val="28"/>
              </w:rPr>
            </w:pPr>
            <w:r w:rsidRPr="00DA3856">
              <w:rPr>
                <w:rFonts w:ascii="標楷體" w:eastAsia="標楷體" w:hAnsi="標楷體" w:hint="eastAsia"/>
                <w:sz w:val="28"/>
                <w:szCs w:val="28"/>
              </w:rPr>
              <w:t>一、</w:t>
            </w:r>
            <w:r w:rsidRPr="00DA3856">
              <w:rPr>
                <w:rFonts w:ascii="標楷體" w:eastAsia="標楷體" w:hAnsi="標楷體" w:hint="eastAsia"/>
                <w:color w:val="000000"/>
                <w:sz w:val="28"/>
                <w:szCs w:val="28"/>
              </w:rPr>
              <w:t>容器之密封</w:t>
            </w:r>
            <w:r w:rsidRPr="00DA3856">
              <w:rPr>
                <w:rFonts w:ascii="Arial" w:hAnsi="Arial"/>
                <w:color w:val="000000"/>
                <w:sz w:val="28"/>
                <w:szCs w:val="28"/>
              </w:rPr>
              <w:t>(</w:t>
            </w:r>
            <w:r w:rsidRPr="00DA3856">
              <w:rPr>
                <w:rFonts w:ascii="標楷體" w:eastAsia="標楷體" w:hAnsi="標楷體" w:hint="eastAsia"/>
                <w:color w:val="000000"/>
                <w:sz w:val="28"/>
                <w:szCs w:val="28"/>
              </w:rPr>
              <w:t>封口</w:t>
            </w:r>
            <w:r w:rsidRPr="00DA3856">
              <w:rPr>
                <w:rFonts w:ascii="Arial" w:hAnsi="Arial"/>
                <w:color w:val="000000"/>
                <w:sz w:val="28"/>
                <w:szCs w:val="28"/>
              </w:rPr>
              <w:t>)</w:t>
            </w:r>
            <w:r w:rsidRPr="00DA3856">
              <w:rPr>
                <w:rFonts w:ascii="標楷體" w:eastAsia="標楷體" w:hAnsi="標楷體" w:hint="eastAsia"/>
                <w:color w:val="000000"/>
                <w:sz w:val="28"/>
                <w:szCs w:val="28"/>
              </w:rPr>
              <w:t>，應符合下列規定</w:t>
            </w:r>
            <w:r w:rsidRPr="00DA3856">
              <w:rPr>
                <w:rFonts w:ascii="標楷體" w:eastAsia="標楷體" w:hAnsi="標楷體" w:hint="eastAsia"/>
                <w:sz w:val="28"/>
                <w:szCs w:val="28"/>
              </w:rPr>
              <w:t>：</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（一）金屬罐捲封之外觀檢查，應由第三十</w:t>
            </w:r>
            <w:r w:rsidRPr="00DA3856">
              <w:rPr>
                <w:rFonts w:ascii="標楷體" w:eastAsia="標楷體" w:hAnsi="標楷體" w:hint="eastAsia"/>
                <w:sz w:val="28"/>
                <w:szCs w:val="28"/>
                <w:u w:val="single"/>
              </w:rPr>
              <w:t>五</w:t>
            </w:r>
            <w:r w:rsidRPr="00DA3856">
              <w:rPr>
                <w:rFonts w:ascii="標楷體" w:eastAsia="標楷體" w:hAnsi="標楷體" w:hint="eastAsia"/>
                <w:sz w:val="28"/>
                <w:szCs w:val="28"/>
              </w:rPr>
              <w:t>條第二款所定受密封檢查訓練合格並領有證書之人員負責；檢查間隔不得超過一小時，並應詳實記錄。</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（二）金屬罐之外觀檢查，捲封不得有切罐、斷封、尖銳捲緣、疑似捲封、跳封、唇狀或舌狀等缺點。</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（三）捲封之解體檢查，應由第三十</w:t>
            </w:r>
            <w:r w:rsidRPr="00DA3856">
              <w:rPr>
                <w:rFonts w:ascii="標楷體" w:eastAsia="標楷體" w:hAnsi="標楷體" w:hint="eastAsia"/>
                <w:sz w:val="28"/>
                <w:szCs w:val="28"/>
                <w:u w:val="single"/>
              </w:rPr>
              <w:t>五</w:t>
            </w:r>
            <w:r w:rsidRPr="00DA3856">
              <w:rPr>
                <w:rFonts w:ascii="標楷體" w:eastAsia="標楷體" w:hAnsi="標楷體" w:hint="eastAsia"/>
                <w:sz w:val="28"/>
                <w:szCs w:val="28"/>
              </w:rPr>
              <w:t>條第二款所定曾受密封檢查訓練合格並領有證書之人員負責執行。每罐型第一罐，應進行解體檢查，其後檢查間隔不得超過四小時，並應詳實記錄。</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四）前款之檢查項目為捲封寬度與厚度、罐蓋深度、蓋鉤、罐鉤、鉤疊長度或百分鐘率及皺紋度；其捲封品質及檢驗方法，應符合中華民國國家標準有關食品罐頭用圓形金屬空罐及食品罐頭用圓形空罐檢驗方法之規定。</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（五）玻璃瓶之封蓋，不得有斜蓋或密閉不緊等密封不完全之缺點。</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（六）殺菌袋之封口外觀檢查，不得有針孔、封口不平、封口處殘留夾雜物或封口不完全等引起漏袋之缺點；其品質及檢查方法，應符合中華民國國家標準有關殺菌袋裝食品及包裝食品殺菌袋檢驗方法之規定。</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（七）前六款以外其他容器，應由第三十</w:t>
            </w:r>
            <w:r w:rsidRPr="00DA3856">
              <w:rPr>
                <w:rFonts w:ascii="標楷體" w:eastAsia="標楷體" w:hAnsi="標楷體" w:hint="eastAsia"/>
                <w:sz w:val="28"/>
                <w:szCs w:val="28"/>
                <w:u w:val="single"/>
              </w:rPr>
              <w:t>五</w:t>
            </w:r>
            <w:r w:rsidRPr="00DA3856">
              <w:rPr>
                <w:rFonts w:ascii="標楷體" w:eastAsia="標楷體" w:hAnsi="標楷體" w:hint="eastAsia"/>
                <w:sz w:val="28"/>
                <w:szCs w:val="28"/>
              </w:rPr>
              <w:t>條第二款所定訓練合格之容器封口技術人員，以適當頻率檢查封口機之效率及產品密封性，並應詳實記錄。</w:t>
            </w:r>
          </w:p>
          <w:p w:rsidR="00B3097D" w:rsidRPr="00DA3856" w:rsidRDefault="00B3097D" w:rsidP="00557299">
            <w:pPr>
              <w:pStyle w:val="NormalWeb"/>
              <w:snapToGrid w:val="0"/>
              <w:spacing w:before="0" w:beforeAutospacing="0" w:after="0" w:afterAutospacing="0"/>
              <w:ind w:leftChars="75" w:left="740" w:hangingChars="200" w:hanging="560"/>
              <w:jc w:val="both"/>
              <w:rPr>
                <w:rFonts w:ascii="標楷體" w:eastAsia="標楷體" w:hAnsi="標楷體"/>
                <w:sz w:val="28"/>
                <w:szCs w:val="28"/>
              </w:rPr>
            </w:pPr>
            <w:r w:rsidRPr="00DA3856">
              <w:rPr>
                <w:rFonts w:ascii="標楷體" w:eastAsia="標楷體" w:hAnsi="標楷體" w:hint="eastAsia"/>
                <w:sz w:val="28"/>
                <w:szCs w:val="28"/>
              </w:rPr>
              <w:t>二、殺菌冷卻後之罐頭，使用輸送帶輸送時，應避免輸送帶與捲封</w:t>
            </w:r>
            <w:r w:rsidRPr="00DA3856">
              <w:rPr>
                <w:rFonts w:ascii="標楷體" w:eastAsia="標楷體" w:hAnsi="標楷體"/>
                <w:sz w:val="28"/>
                <w:szCs w:val="28"/>
              </w:rPr>
              <w:t>(</w:t>
            </w:r>
            <w:r w:rsidRPr="00DA3856">
              <w:rPr>
                <w:rFonts w:ascii="標楷體" w:eastAsia="標楷體" w:hAnsi="標楷體" w:hint="eastAsia"/>
                <w:sz w:val="28"/>
                <w:szCs w:val="28"/>
              </w:rPr>
              <w:t>封口</w:t>
            </w:r>
            <w:r w:rsidRPr="00DA3856">
              <w:rPr>
                <w:rFonts w:ascii="標楷體" w:eastAsia="標楷體" w:hAnsi="標楷體"/>
                <w:sz w:val="28"/>
                <w:szCs w:val="28"/>
              </w:rPr>
              <w:t>)</w:t>
            </w:r>
            <w:r w:rsidRPr="00DA3856">
              <w:rPr>
                <w:rFonts w:ascii="標楷體" w:eastAsia="標楷體" w:hAnsi="標楷體" w:hint="eastAsia"/>
                <w:sz w:val="28"/>
                <w:szCs w:val="28"/>
              </w:rPr>
              <w:t>之接觸；有破損之輸送帶、罐緩衝器等，均應更新，與罐頭捲封</w:t>
            </w:r>
            <w:r w:rsidRPr="00DA3856">
              <w:rPr>
                <w:rFonts w:ascii="標楷體" w:eastAsia="標楷體" w:hAnsi="標楷體"/>
                <w:sz w:val="28"/>
                <w:szCs w:val="28"/>
              </w:rPr>
              <w:t>(</w:t>
            </w:r>
            <w:r w:rsidRPr="00DA3856">
              <w:rPr>
                <w:rFonts w:ascii="標楷體" w:eastAsia="標楷體" w:hAnsi="標楷體" w:hint="eastAsia"/>
                <w:sz w:val="28"/>
                <w:szCs w:val="28"/>
              </w:rPr>
              <w:t>封口</w:t>
            </w:r>
            <w:r w:rsidRPr="00DA3856">
              <w:rPr>
                <w:rFonts w:ascii="標楷體" w:eastAsia="標楷體" w:hAnsi="標楷體"/>
                <w:sz w:val="28"/>
                <w:szCs w:val="28"/>
              </w:rPr>
              <w:t>)</w:t>
            </w:r>
            <w:r w:rsidRPr="00DA3856">
              <w:rPr>
                <w:rFonts w:ascii="標楷體" w:eastAsia="標楷體" w:hAnsi="標楷體" w:hint="eastAsia"/>
                <w:sz w:val="28"/>
                <w:szCs w:val="28"/>
              </w:rPr>
              <w:t>接觸之軌道及輸送帶，應保持清潔。</w:t>
            </w:r>
          </w:p>
          <w:p w:rsidR="00B3097D" w:rsidRPr="00DA3856" w:rsidRDefault="00B3097D" w:rsidP="00557299">
            <w:pPr>
              <w:pStyle w:val="NormalWeb"/>
              <w:snapToGrid w:val="0"/>
              <w:spacing w:before="0" w:beforeAutospacing="0" w:after="0" w:afterAutospacing="0"/>
              <w:ind w:leftChars="75" w:left="740" w:hangingChars="200" w:hanging="560"/>
              <w:rPr>
                <w:rFonts w:ascii="標楷體" w:eastAsia="標楷體" w:hAnsi="標楷體"/>
                <w:sz w:val="28"/>
                <w:szCs w:val="28"/>
              </w:rPr>
            </w:pPr>
          </w:p>
        </w:tc>
        <w:tc>
          <w:tcPr>
            <w:tcW w:w="2500" w:type="pct"/>
          </w:tcPr>
          <w:p w:rsidR="00B3097D" w:rsidRPr="00DA3856" w:rsidRDefault="00B3097D" w:rsidP="00557299">
            <w:pPr>
              <w:pStyle w:val="NormalWeb"/>
              <w:snapToGrid w:val="0"/>
              <w:spacing w:before="0" w:beforeAutospacing="0" w:after="0" w:afterAutospacing="0"/>
              <w:ind w:leftChars="75" w:left="740" w:hangingChars="200" w:hanging="560"/>
              <w:rPr>
                <w:rFonts w:ascii="標楷體" w:eastAsia="標楷體" w:hAnsi="標楷體"/>
                <w:sz w:val="28"/>
                <w:szCs w:val="28"/>
              </w:rPr>
            </w:pPr>
            <w:r w:rsidRPr="00DA3856">
              <w:rPr>
                <w:rFonts w:ascii="標楷體" w:eastAsia="標楷體" w:hAnsi="標楷體" w:hint="eastAsia"/>
                <w:sz w:val="28"/>
                <w:szCs w:val="28"/>
              </w:rPr>
              <w:t>一、</w:t>
            </w:r>
            <w:r w:rsidRPr="00DA3856">
              <w:rPr>
                <w:rFonts w:ascii="標楷體" w:eastAsia="標楷體" w:hAnsi="標楷體" w:hint="eastAsia"/>
                <w:color w:val="000000"/>
                <w:sz w:val="28"/>
                <w:szCs w:val="28"/>
              </w:rPr>
              <w:t>容器之密封</w:t>
            </w:r>
            <w:r w:rsidRPr="00DA3856">
              <w:rPr>
                <w:rFonts w:ascii="Arial" w:hAnsi="Arial"/>
                <w:color w:val="000000"/>
                <w:sz w:val="28"/>
                <w:szCs w:val="28"/>
              </w:rPr>
              <w:t>(</w:t>
            </w:r>
            <w:r w:rsidRPr="00DA3856">
              <w:rPr>
                <w:rFonts w:ascii="標楷體" w:eastAsia="標楷體" w:hAnsi="標楷體" w:hint="eastAsia"/>
                <w:color w:val="000000"/>
                <w:sz w:val="28"/>
                <w:szCs w:val="28"/>
              </w:rPr>
              <w:t>封口</w:t>
            </w:r>
            <w:r w:rsidRPr="00DA3856">
              <w:rPr>
                <w:rFonts w:ascii="Arial" w:hAnsi="Arial"/>
                <w:color w:val="000000"/>
                <w:sz w:val="28"/>
                <w:szCs w:val="28"/>
              </w:rPr>
              <w:t>)</w:t>
            </w:r>
            <w:r w:rsidRPr="00DA3856">
              <w:rPr>
                <w:rFonts w:ascii="標楷體" w:eastAsia="標楷體" w:hAnsi="標楷體" w:hint="eastAsia"/>
                <w:color w:val="000000"/>
                <w:sz w:val="28"/>
                <w:szCs w:val="28"/>
              </w:rPr>
              <w:t>，應符合下列規定</w:t>
            </w:r>
            <w:r w:rsidRPr="00DA3856">
              <w:rPr>
                <w:rFonts w:ascii="標楷體" w:eastAsia="標楷體" w:hAnsi="標楷體" w:hint="eastAsia"/>
                <w:sz w:val="28"/>
                <w:szCs w:val="28"/>
              </w:rPr>
              <w:t>：</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（一）金屬罐捲封之外觀檢查，應由第三十四條第二款所定受密封檢查訓練合格並領有證書之人員負責；檢查間隔不得超過一小時，並應詳實記錄。</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（二）金屬罐之外觀檢查，捲封不得有切罐、斷封、尖銳捲緣、疑似捲封、跳封、唇狀或舌狀等缺點。</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（三）捲封之解體檢查，應由第三十四條第二款所定曾受密封檢查訓練合格並領有證書之人員負責執行。每罐型第一罐，應進行解體檢查，其後檢查間隔不得超過四小時，並應詳實記錄。</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四）前款之檢查項目為捲封寬度與厚度、罐蓋深度、蓋鉤、罐鉤、鉤疊長度或百分鐘率及皺紋度；其捲封品質及檢驗方法，應符合中華民國國家標準有關食品罐頭用圓形金屬空罐及食品罐頭用圓形空罐檢驗方法之規定。</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（五）玻璃瓶之封蓋，不得有斜蓋或密閉不緊等密封不完全之缺點。</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（六）殺菌袋之封口外觀檢查，不得有針孔、封口不平、封口處殘留夾雜物或封口不完全等引起漏袋之缺點；其品質及檢查方法，應符合中華民國國家標準有關殺菌袋裝食品及包裝食品殺菌袋檢驗方法之規定。</w:t>
            </w:r>
          </w:p>
          <w:p w:rsidR="00B3097D" w:rsidRPr="00DA3856" w:rsidRDefault="00B3097D" w:rsidP="00557299">
            <w:pPr>
              <w:pStyle w:val="NormalWeb"/>
              <w:snapToGrid w:val="0"/>
              <w:spacing w:before="0" w:beforeAutospacing="0" w:after="0" w:afterAutospacing="0"/>
              <w:ind w:leftChars="75" w:left="1020" w:hangingChars="300" w:hanging="840"/>
              <w:jc w:val="both"/>
              <w:rPr>
                <w:rFonts w:ascii="標楷體" w:eastAsia="標楷體" w:hAnsi="標楷體"/>
                <w:sz w:val="28"/>
                <w:szCs w:val="28"/>
              </w:rPr>
            </w:pPr>
            <w:r w:rsidRPr="00DA3856">
              <w:rPr>
                <w:rFonts w:ascii="標楷體" w:eastAsia="標楷體" w:hAnsi="標楷體" w:hint="eastAsia"/>
                <w:sz w:val="28"/>
                <w:szCs w:val="28"/>
              </w:rPr>
              <w:t>（七）前六款以外其他容器，應由第三十四條第二款所定訓練合格之容器封口技術人員，以適當頻率檢查封口機之效率及產品密封性，並應詳實記錄。</w:t>
            </w:r>
          </w:p>
          <w:p w:rsidR="00B3097D" w:rsidRPr="00DA3856" w:rsidRDefault="00B3097D" w:rsidP="00557299">
            <w:pPr>
              <w:pStyle w:val="NormalWeb"/>
              <w:snapToGrid w:val="0"/>
              <w:spacing w:before="0" w:beforeAutospacing="0" w:after="0" w:afterAutospacing="0"/>
              <w:ind w:leftChars="75" w:left="740" w:hangingChars="200" w:hanging="560"/>
              <w:jc w:val="both"/>
              <w:rPr>
                <w:rFonts w:ascii="標楷體" w:eastAsia="標楷體" w:hAnsi="標楷體"/>
                <w:sz w:val="28"/>
                <w:szCs w:val="28"/>
              </w:rPr>
            </w:pPr>
            <w:r w:rsidRPr="00DA3856">
              <w:rPr>
                <w:rFonts w:ascii="標楷體" w:eastAsia="標楷體" w:hAnsi="標楷體" w:hint="eastAsia"/>
                <w:sz w:val="28"/>
                <w:szCs w:val="28"/>
              </w:rPr>
              <w:t>二、殺菌冷卻後之罐頭，使用輸送帶輸送時，應避免輸送帶與捲封</w:t>
            </w:r>
            <w:r w:rsidRPr="00DA3856">
              <w:rPr>
                <w:rFonts w:ascii="標楷體" w:eastAsia="標楷體" w:hAnsi="標楷體"/>
                <w:sz w:val="28"/>
                <w:szCs w:val="28"/>
              </w:rPr>
              <w:t>(</w:t>
            </w:r>
            <w:r w:rsidRPr="00DA3856">
              <w:rPr>
                <w:rFonts w:ascii="標楷體" w:eastAsia="標楷體" w:hAnsi="標楷體" w:hint="eastAsia"/>
                <w:sz w:val="28"/>
                <w:szCs w:val="28"/>
              </w:rPr>
              <w:t>封口</w:t>
            </w:r>
            <w:r w:rsidRPr="00DA3856">
              <w:rPr>
                <w:rFonts w:ascii="標楷體" w:eastAsia="標楷體" w:hAnsi="標楷體"/>
                <w:sz w:val="28"/>
                <w:szCs w:val="28"/>
              </w:rPr>
              <w:t>)</w:t>
            </w:r>
            <w:r w:rsidRPr="00DA3856">
              <w:rPr>
                <w:rFonts w:ascii="標楷體" w:eastAsia="標楷體" w:hAnsi="標楷體" w:hint="eastAsia"/>
                <w:sz w:val="28"/>
                <w:szCs w:val="28"/>
              </w:rPr>
              <w:t>之接觸；有破損之輸送帶、罐緩衝器等，均應更新，與罐頭捲封</w:t>
            </w:r>
            <w:r w:rsidRPr="00DA3856">
              <w:rPr>
                <w:rFonts w:ascii="標楷體" w:eastAsia="標楷體" w:hAnsi="標楷體"/>
                <w:sz w:val="28"/>
                <w:szCs w:val="28"/>
              </w:rPr>
              <w:t>(</w:t>
            </w:r>
            <w:r w:rsidRPr="00DA3856">
              <w:rPr>
                <w:rFonts w:ascii="標楷體" w:eastAsia="標楷體" w:hAnsi="標楷體" w:hint="eastAsia"/>
                <w:sz w:val="28"/>
                <w:szCs w:val="28"/>
              </w:rPr>
              <w:t>封口</w:t>
            </w:r>
            <w:r w:rsidRPr="00DA3856">
              <w:rPr>
                <w:rFonts w:ascii="標楷體" w:eastAsia="標楷體" w:hAnsi="標楷體"/>
                <w:sz w:val="28"/>
                <w:szCs w:val="28"/>
              </w:rPr>
              <w:t>)</w:t>
            </w:r>
            <w:r w:rsidRPr="00DA3856">
              <w:rPr>
                <w:rFonts w:ascii="標楷體" w:eastAsia="標楷體" w:hAnsi="標楷體" w:hint="eastAsia"/>
                <w:sz w:val="28"/>
                <w:szCs w:val="28"/>
              </w:rPr>
              <w:t>接觸之軌道及輸送帶，應保持清潔。</w:t>
            </w:r>
          </w:p>
          <w:p w:rsidR="00B3097D" w:rsidRPr="00DA3856" w:rsidRDefault="00B3097D" w:rsidP="00557299">
            <w:pPr>
              <w:pStyle w:val="NormalWeb"/>
              <w:snapToGrid w:val="0"/>
              <w:spacing w:before="0" w:beforeAutospacing="0" w:after="0" w:afterAutospacing="0"/>
              <w:ind w:leftChars="75" w:left="740" w:hangingChars="200" w:hanging="560"/>
              <w:jc w:val="both"/>
              <w:rPr>
                <w:rFonts w:ascii="標楷體" w:eastAsia="標楷體" w:hAnsi="標楷體"/>
                <w:sz w:val="28"/>
                <w:szCs w:val="28"/>
              </w:rPr>
            </w:pPr>
          </w:p>
        </w:tc>
      </w:tr>
    </w:tbl>
    <w:p w:rsidR="00B3097D" w:rsidRPr="002242D2" w:rsidRDefault="00B3097D"/>
    <w:sectPr w:rsidR="00B3097D" w:rsidRPr="002242D2" w:rsidSect="00E6124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97D" w:rsidRDefault="00B3097D" w:rsidP="00691746">
      <w:r>
        <w:separator/>
      </w:r>
    </w:p>
  </w:endnote>
  <w:endnote w:type="continuationSeparator" w:id="0">
    <w:p w:rsidR="00B3097D" w:rsidRDefault="00B3097D" w:rsidP="006917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97D" w:rsidRDefault="00B3097D" w:rsidP="00691746">
      <w:r>
        <w:separator/>
      </w:r>
    </w:p>
  </w:footnote>
  <w:footnote w:type="continuationSeparator" w:id="0">
    <w:p w:rsidR="00B3097D" w:rsidRDefault="00B3097D" w:rsidP="006917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2D2"/>
    <w:rsid w:val="00035E48"/>
    <w:rsid w:val="001D18CB"/>
    <w:rsid w:val="002242D2"/>
    <w:rsid w:val="004B67C4"/>
    <w:rsid w:val="00557299"/>
    <w:rsid w:val="005D1360"/>
    <w:rsid w:val="00691746"/>
    <w:rsid w:val="007078EA"/>
    <w:rsid w:val="007A24C2"/>
    <w:rsid w:val="0082739F"/>
    <w:rsid w:val="00903BDA"/>
    <w:rsid w:val="00A16C50"/>
    <w:rsid w:val="00B3097D"/>
    <w:rsid w:val="00C61B8E"/>
    <w:rsid w:val="00D117FC"/>
    <w:rsid w:val="00DA3856"/>
    <w:rsid w:val="00E61241"/>
    <w:rsid w:val="00F540B4"/>
    <w:rsid w:val="00FB53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D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42D2"/>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69174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91746"/>
    <w:rPr>
      <w:rFonts w:ascii="Times New Roman" w:eastAsia="新細明體" w:hAnsi="Times New Roman" w:cs="Times New Roman"/>
      <w:sz w:val="20"/>
      <w:szCs w:val="20"/>
    </w:rPr>
  </w:style>
  <w:style w:type="paragraph" w:styleId="Footer">
    <w:name w:val="footer"/>
    <w:basedOn w:val="Normal"/>
    <w:link w:val="FooterChar"/>
    <w:uiPriority w:val="99"/>
    <w:rsid w:val="0069174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91746"/>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180</Words>
  <Characters>1032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食品良好衛生規範準則第三十六條附表六勘誤表</dc:title>
  <dc:subject/>
  <dc:creator>陳清美</dc:creator>
  <cp:keywords/>
  <dc:description/>
  <cp:lastModifiedBy>USER</cp:lastModifiedBy>
  <cp:revision>2</cp:revision>
  <cp:lastPrinted>2015-05-22T06:18:00Z</cp:lastPrinted>
  <dcterms:created xsi:type="dcterms:W3CDTF">2015-07-01T08:17:00Z</dcterms:created>
  <dcterms:modified xsi:type="dcterms:W3CDTF">2015-07-01T08:17:00Z</dcterms:modified>
</cp:coreProperties>
</file>